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45" w:rsidRDefault="006C1F45" w:rsidP="00C243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SOP – Training Partner Affiliation for Non- PMKVY Schemes</w:t>
      </w:r>
    </w:p>
    <w:p w:rsidR="006C1F45" w:rsidRDefault="006C1F45" w:rsidP="007905A0">
      <w:pPr>
        <w:jc w:val="both"/>
        <w:rPr>
          <w:b/>
          <w:sz w:val="36"/>
          <w:szCs w:val="36"/>
          <w:u w:val="single"/>
        </w:rPr>
      </w:pPr>
    </w:p>
    <w:p w:rsidR="006C1F45" w:rsidRDefault="006C1F45" w:rsidP="007905A0">
      <w:pPr>
        <w:jc w:val="both"/>
        <w:rPr>
          <w:bCs/>
          <w:sz w:val="36"/>
          <w:szCs w:val="36"/>
        </w:rPr>
      </w:pPr>
      <w:r w:rsidRPr="009D7688">
        <w:rPr>
          <w:bCs/>
          <w:sz w:val="36"/>
          <w:szCs w:val="36"/>
          <w:u w:val="single"/>
        </w:rPr>
        <w:t>Appendices</w:t>
      </w:r>
      <w:r w:rsidRPr="009D7688">
        <w:rPr>
          <w:bCs/>
          <w:sz w:val="36"/>
          <w:szCs w:val="36"/>
        </w:rPr>
        <w:t>:-</w:t>
      </w:r>
    </w:p>
    <w:p w:rsidR="006C1F45" w:rsidRDefault="009E7CD9" w:rsidP="007905A0">
      <w:pPr>
        <w:pStyle w:val="ListParagraph"/>
        <w:numPr>
          <w:ilvl w:val="0"/>
          <w:numId w:val="2"/>
        </w:num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</w:t>
      </w:r>
      <w:r w:rsidRPr="00C243A0">
        <w:rPr>
          <w:b/>
          <w:bCs/>
          <w:sz w:val="36"/>
          <w:szCs w:val="36"/>
        </w:rPr>
        <w:t>A</w:t>
      </w:r>
      <w:r>
        <w:rPr>
          <w:bCs/>
          <w:sz w:val="36"/>
          <w:szCs w:val="36"/>
        </w:rPr>
        <w:t xml:space="preserve"> Metropolitan Cities in India</w:t>
      </w:r>
    </w:p>
    <w:p w:rsidR="009E7CD9" w:rsidRPr="006C1F45" w:rsidRDefault="009E7CD9" w:rsidP="007905A0">
      <w:pPr>
        <w:pStyle w:val="ListParagraph"/>
        <w:numPr>
          <w:ilvl w:val="0"/>
          <w:numId w:val="2"/>
        </w:num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</w:t>
      </w:r>
      <w:r w:rsidRPr="00C243A0">
        <w:rPr>
          <w:b/>
          <w:bCs/>
          <w:sz w:val="36"/>
          <w:szCs w:val="36"/>
        </w:rPr>
        <w:t>B</w:t>
      </w:r>
      <w:r w:rsidR="00C243A0">
        <w:rPr>
          <w:bCs/>
          <w:sz w:val="36"/>
          <w:szCs w:val="36"/>
        </w:rPr>
        <w:t xml:space="preserve"> Checklist of Equipment</w:t>
      </w:r>
    </w:p>
    <w:p w:rsidR="00C243A0" w:rsidRDefault="006C1F45" w:rsidP="00C243A0">
      <w:pPr>
        <w:jc w:val="both"/>
        <w:rPr>
          <w:sz w:val="36"/>
          <w:szCs w:val="36"/>
          <w:u w:val="single"/>
        </w:rPr>
      </w:pPr>
      <w:r w:rsidRPr="006C1F45">
        <w:rPr>
          <w:sz w:val="36"/>
          <w:szCs w:val="36"/>
          <w:u w:val="single"/>
        </w:rPr>
        <w:t>Introduction</w:t>
      </w:r>
    </w:p>
    <w:p w:rsidR="006C1F45" w:rsidRPr="00C243A0" w:rsidRDefault="00C243A0" w:rsidP="00C243A0">
      <w:pPr>
        <w:pStyle w:val="ListParagraph"/>
        <w:numPr>
          <w:ilvl w:val="0"/>
          <w:numId w:val="8"/>
        </w:numPr>
        <w:jc w:val="both"/>
        <w:rPr>
          <w:sz w:val="36"/>
          <w:szCs w:val="36"/>
          <w:u w:val="single"/>
        </w:rPr>
      </w:pPr>
      <w:r w:rsidRPr="00C243A0">
        <w:rPr>
          <w:sz w:val="36"/>
          <w:szCs w:val="36"/>
        </w:rPr>
        <w:t xml:space="preserve">NSDC vide their mail quoted above have revised their Affiliation Policy of Training </w:t>
      </w:r>
      <w:proofErr w:type="spellStart"/>
      <w:r w:rsidRPr="00C243A0">
        <w:rPr>
          <w:sz w:val="36"/>
          <w:szCs w:val="36"/>
        </w:rPr>
        <w:t>Centres</w:t>
      </w:r>
      <w:proofErr w:type="spellEnd"/>
      <w:r w:rsidRPr="00C243A0">
        <w:rPr>
          <w:sz w:val="36"/>
          <w:szCs w:val="36"/>
        </w:rPr>
        <w:t xml:space="preserve">. </w:t>
      </w:r>
      <w:r w:rsidR="00EF2C23" w:rsidRPr="00C243A0">
        <w:rPr>
          <w:sz w:val="36"/>
          <w:szCs w:val="36"/>
        </w:rPr>
        <w:t xml:space="preserve">In </w:t>
      </w:r>
      <w:r w:rsidR="006C1F45" w:rsidRPr="00C243A0">
        <w:rPr>
          <w:sz w:val="36"/>
          <w:szCs w:val="36"/>
        </w:rPr>
        <w:t>cases of Schemes other than PMKVY, SSCs can affiliate the Training Centre (TC) as per their ow</w:t>
      </w:r>
      <w:r w:rsidR="00EF2C23" w:rsidRPr="00C243A0">
        <w:rPr>
          <w:sz w:val="36"/>
          <w:szCs w:val="36"/>
        </w:rPr>
        <w:t>n process till March 2017.   S</w:t>
      </w:r>
      <w:r w:rsidR="006C1F45" w:rsidRPr="00C243A0">
        <w:rPr>
          <w:sz w:val="36"/>
          <w:szCs w:val="36"/>
        </w:rPr>
        <w:t xml:space="preserve">uch affiliations  have to be Centre wise ( Not TP Wise) , and </w:t>
      </w:r>
      <w:r w:rsidRPr="00C243A0">
        <w:rPr>
          <w:sz w:val="36"/>
          <w:szCs w:val="36"/>
        </w:rPr>
        <w:t xml:space="preserve">the duration of Affiliation will be </w:t>
      </w:r>
      <w:r w:rsidR="006C1F45" w:rsidRPr="00C243A0">
        <w:rPr>
          <w:sz w:val="36"/>
          <w:szCs w:val="36"/>
        </w:rPr>
        <w:t xml:space="preserve">restricted to a maximum of one year or even less , so as to ensure 100% transition of such </w:t>
      </w:r>
      <w:r w:rsidR="00BB3AB8" w:rsidRPr="00C243A0">
        <w:rPr>
          <w:sz w:val="36"/>
          <w:szCs w:val="36"/>
        </w:rPr>
        <w:t>Centers</w:t>
      </w:r>
      <w:r w:rsidR="006C1F45" w:rsidRPr="00C243A0">
        <w:rPr>
          <w:sz w:val="36"/>
          <w:szCs w:val="36"/>
        </w:rPr>
        <w:t xml:space="preserve"> on SMART in FY 2017 – 18 .</w:t>
      </w:r>
      <w:r w:rsidR="006C1F45" w:rsidRPr="00C243A0">
        <w:rPr>
          <w:rFonts w:ascii="Calibri" w:hAnsi="Calibri"/>
          <w:b/>
          <w:bCs/>
        </w:rPr>
        <w:t>    </w:t>
      </w:r>
    </w:p>
    <w:p w:rsidR="00EF2C23" w:rsidRDefault="00EF2C23" w:rsidP="007905A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Aim</w:t>
      </w:r>
    </w:p>
    <w:p w:rsidR="00EF2C23" w:rsidRPr="00C243A0" w:rsidRDefault="00EF2C23" w:rsidP="00C243A0">
      <w:pPr>
        <w:pStyle w:val="ListParagraph"/>
        <w:numPr>
          <w:ilvl w:val="0"/>
          <w:numId w:val="8"/>
        </w:numPr>
        <w:jc w:val="both"/>
        <w:rPr>
          <w:sz w:val="36"/>
          <w:szCs w:val="36"/>
        </w:rPr>
      </w:pPr>
      <w:r w:rsidRPr="00C243A0">
        <w:rPr>
          <w:sz w:val="36"/>
          <w:szCs w:val="36"/>
        </w:rPr>
        <w:t xml:space="preserve">The aim of this SOP is to formulate the procedures to be followed for the affiliation of </w:t>
      </w:r>
      <w:r w:rsidR="00F32FC1" w:rsidRPr="00C243A0">
        <w:rPr>
          <w:sz w:val="36"/>
          <w:szCs w:val="36"/>
        </w:rPr>
        <w:t>Training</w:t>
      </w:r>
      <w:r w:rsidRPr="00C243A0">
        <w:rPr>
          <w:sz w:val="36"/>
          <w:szCs w:val="36"/>
        </w:rPr>
        <w:t xml:space="preserve"> </w:t>
      </w:r>
      <w:r w:rsidR="00F32FC1" w:rsidRPr="00C243A0">
        <w:rPr>
          <w:sz w:val="36"/>
          <w:szCs w:val="36"/>
        </w:rPr>
        <w:t>Centers</w:t>
      </w:r>
      <w:r w:rsidRPr="00C243A0">
        <w:rPr>
          <w:sz w:val="36"/>
          <w:szCs w:val="36"/>
        </w:rPr>
        <w:t xml:space="preserve"> for Non – PMKVY schemes.</w:t>
      </w:r>
    </w:p>
    <w:p w:rsidR="009E7CD9" w:rsidRDefault="009E7CD9" w:rsidP="007905A0">
      <w:pPr>
        <w:jc w:val="both"/>
        <w:rPr>
          <w:sz w:val="36"/>
          <w:szCs w:val="36"/>
          <w:u w:val="single"/>
        </w:rPr>
      </w:pPr>
    </w:p>
    <w:p w:rsidR="009E7CD9" w:rsidRDefault="009E7CD9" w:rsidP="007905A0">
      <w:pPr>
        <w:jc w:val="both"/>
        <w:rPr>
          <w:sz w:val="36"/>
          <w:szCs w:val="36"/>
          <w:u w:val="single"/>
        </w:rPr>
      </w:pPr>
    </w:p>
    <w:p w:rsidR="00C243A0" w:rsidRDefault="00C243A0" w:rsidP="007905A0">
      <w:pPr>
        <w:jc w:val="both"/>
        <w:rPr>
          <w:sz w:val="36"/>
          <w:szCs w:val="36"/>
          <w:u w:val="single"/>
        </w:rPr>
      </w:pPr>
    </w:p>
    <w:p w:rsidR="00C243A0" w:rsidRDefault="00C243A0" w:rsidP="007905A0">
      <w:pPr>
        <w:jc w:val="both"/>
        <w:rPr>
          <w:sz w:val="36"/>
          <w:szCs w:val="36"/>
          <w:u w:val="single"/>
        </w:rPr>
      </w:pPr>
    </w:p>
    <w:p w:rsidR="00C243A0" w:rsidRDefault="004928D8" w:rsidP="00C243A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Procedure</w:t>
      </w:r>
    </w:p>
    <w:p w:rsidR="00C243A0" w:rsidRPr="00C243A0" w:rsidRDefault="00C243A0" w:rsidP="00C243A0">
      <w:pPr>
        <w:pStyle w:val="ListParagraph"/>
        <w:numPr>
          <w:ilvl w:val="0"/>
          <w:numId w:val="8"/>
        </w:numPr>
        <w:jc w:val="both"/>
        <w:rPr>
          <w:sz w:val="36"/>
          <w:szCs w:val="36"/>
          <w:u w:val="single"/>
        </w:rPr>
      </w:pPr>
      <w:r w:rsidRPr="00C243A0">
        <w:rPr>
          <w:sz w:val="36"/>
          <w:szCs w:val="36"/>
          <w:u w:val="single"/>
        </w:rPr>
        <w:lastRenderedPageBreak/>
        <w:t>Eligibility</w:t>
      </w:r>
      <w:r>
        <w:rPr>
          <w:sz w:val="36"/>
          <w:szCs w:val="36"/>
        </w:rPr>
        <w:t xml:space="preserve">. </w:t>
      </w:r>
      <w:r w:rsidR="00BB3AB8" w:rsidRPr="00C243A0">
        <w:rPr>
          <w:sz w:val="36"/>
          <w:szCs w:val="36"/>
        </w:rPr>
        <w:t xml:space="preserve">All Training Center(s) (TC) </w:t>
      </w:r>
      <w:r>
        <w:rPr>
          <w:sz w:val="36"/>
          <w:szCs w:val="36"/>
        </w:rPr>
        <w:t xml:space="preserve">who do not wish to participate in PMKVY 2 Scheme </w:t>
      </w:r>
      <w:r w:rsidR="00BB3AB8" w:rsidRPr="00C243A0">
        <w:rPr>
          <w:sz w:val="36"/>
          <w:szCs w:val="36"/>
        </w:rPr>
        <w:t>are eligible</w:t>
      </w:r>
      <w:r>
        <w:rPr>
          <w:sz w:val="36"/>
          <w:szCs w:val="36"/>
        </w:rPr>
        <w:t>. They can only indulge in</w:t>
      </w:r>
      <w:r w:rsidR="00775C56">
        <w:rPr>
          <w:sz w:val="36"/>
          <w:szCs w:val="36"/>
        </w:rPr>
        <w:t xml:space="preserve"> </w:t>
      </w:r>
      <w:r w:rsidR="00BB3AB8" w:rsidRPr="00C243A0">
        <w:rPr>
          <w:sz w:val="36"/>
          <w:szCs w:val="36"/>
        </w:rPr>
        <w:t xml:space="preserve"> </w:t>
      </w:r>
      <w:r w:rsidR="00775C56">
        <w:rPr>
          <w:sz w:val="36"/>
          <w:szCs w:val="36"/>
        </w:rPr>
        <w:t>Non- PMKV</w:t>
      </w:r>
      <w:r w:rsidR="00BB3AB8" w:rsidRPr="00C243A0">
        <w:rPr>
          <w:sz w:val="36"/>
          <w:szCs w:val="36"/>
        </w:rPr>
        <w:t>Y Schemes, CSR.</w:t>
      </w:r>
    </w:p>
    <w:p w:rsidR="00052418" w:rsidRPr="00052418" w:rsidRDefault="004928D8" w:rsidP="00052418">
      <w:pPr>
        <w:pStyle w:val="ListParagraph"/>
        <w:numPr>
          <w:ilvl w:val="0"/>
          <w:numId w:val="8"/>
        </w:numPr>
        <w:jc w:val="both"/>
        <w:rPr>
          <w:sz w:val="36"/>
          <w:szCs w:val="36"/>
          <w:u w:val="single"/>
        </w:rPr>
      </w:pPr>
      <w:r w:rsidRPr="00C243A0">
        <w:rPr>
          <w:sz w:val="36"/>
          <w:szCs w:val="36"/>
          <w:u w:val="single"/>
        </w:rPr>
        <w:t>R</w:t>
      </w:r>
      <w:r w:rsidR="00775C56">
        <w:rPr>
          <w:sz w:val="36"/>
          <w:szCs w:val="36"/>
          <w:u w:val="single"/>
        </w:rPr>
        <w:t>equirement in Training Centers</w:t>
      </w:r>
      <w:r w:rsidR="00775C56">
        <w:rPr>
          <w:sz w:val="36"/>
          <w:szCs w:val="36"/>
        </w:rPr>
        <w:t xml:space="preserve">. </w:t>
      </w:r>
      <w:r w:rsidR="00052418">
        <w:rPr>
          <w:sz w:val="36"/>
          <w:szCs w:val="36"/>
        </w:rPr>
        <w:t>A Training Centre must have the following:-</w:t>
      </w:r>
    </w:p>
    <w:p w:rsidR="00052418" w:rsidRPr="00052418" w:rsidRDefault="00AE4154" w:rsidP="00052418">
      <w:pPr>
        <w:pStyle w:val="ListParagraph"/>
        <w:numPr>
          <w:ilvl w:val="0"/>
          <w:numId w:val="9"/>
        </w:numPr>
        <w:jc w:val="both"/>
        <w:rPr>
          <w:sz w:val="36"/>
          <w:szCs w:val="36"/>
          <w:u w:val="single"/>
        </w:rPr>
      </w:pPr>
      <w:r w:rsidRPr="00052418">
        <w:rPr>
          <w:sz w:val="36"/>
          <w:szCs w:val="36"/>
        </w:rPr>
        <w:t>Security Lab</w:t>
      </w:r>
      <w:r w:rsidR="00052418">
        <w:rPr>
          <w:sz w:val="36"/>
          <w:szCs w:val="36"/>
        </w:rPr>
        <w:t xml:space="preserve"> of minimum dimension of 240 </w:t>
      </w:r>
      <w:proofErr w:type="spellStart"/>
      <w:r w:rsidR="00052418">
        <w:rPr>
          <w:sz w:val="36"/>
          <w:szCs w:val="36"/>
        </w:rPr>
        <w:t>sq</w:t>
      </w:r>
      <w:proofErr w:type="spellEnd"/>
      <w:r w:rsidR="00052418">
        <w:rPr>
          <w:sz w:val="36"/>
          <w:szCs w:val="36"/>
        </w:rPr>
        <w:t xml:space="preserve"> feet.</w:t>
      </w:r>
    </w:p>
    <w:p w:rsidR="00052418" w:rsidRPr="00052418" w:rsidRDefault="00AE4154" w:rsidP="00052418">
      <w:pPr>
        <w:pStyle w:val="ListParagraph"/>
        <w:numPr>
          <w:ilvl w:val="0"/>
          <w:numId w:val="9"/>
        </w:numPr>
        <w:jc w:val="both"/>
        <w:rPr>
          <w:sz w:val="36"/>
          <w:szCs w:val="36"/>
          <w:u w:val="single"/>
        </w:rPr>
      </w:pPr>
      <w:r w:rsidRPr="00052418">
        <w:rPr>
          <w:sz w:val="36"/>
          <w:szCs w:val="36"/>
        </w:rPr>
        <w:t>Classrooms</w:t>
      </w:r>
      <w:r w:rsidR="00052418">
        <w:rPr>
          <w:sz w:val="36"/>
          <w:szCs w:val="36"/>
        </w:rPr>
        <w:t xml:space="preserve"> of minimum dimension of 300sq feet.</w:t>
      </w:r>
    </w:p>
    <w:p w:rsidR="00052418" w:rsidRPr="00052418" w:rsidRDefault="00052418" w:rsidP="00052418">
      <w:pPr>
        <w:pStyle w:val="ListParagraph"/>
        <w:numPr>
          <w:ilvl w:val="0"/>
          <w:numId w:val="9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Open Ground within one Km of the Centre for physical training</w:t>
      </w:r>
      <w:r w:rsidR="00AE4154" w:rsidRPr="00052418">
        <w:rPr>
          <w:sz w:val="36"/>
          <w:szCs w:val="36"/>
        </w:rPr>
        <w:t>.</w:t>
      </w:r>
    </w:p>
    <w:p w:rsidR="00052418" w:rsidRPr="00052418" w:rsidRDefault="004928D8" w:rsidP="00052418">
      <w:pPr>
        <w:pStyle w:val="ListParagraph"/>
        <w:numPr>
          <w:ilvl w:val="0"/>
          <w:numId w:val="8"/>
        </w:numPr>
        <w:jc w:val="both"/>
        <w:rPr>
          <w:sz w:val="36"/>
          <w:szCs w:val="36"/>
          <w:u w:val="single"/>
        </w:rPr>
      </w:pPr>
      <w:r w:rsidRPr="00052418">
        <w:rPr>
          <w:sz w:val="36"/>
          <w:szCs w:val="36"/>
        </w:rPr>
        <w:t xml:space="preserve">Application form </w:t>
      </w:r>
      <w:r w:rsidR="00052418">
        <w:rPr>
          <w:sz w:val="36"/>
          <w:szCs w:val="36"/>
        </w:rPr>
        <w:t>Can be downloaded from SSSDC</w:t>
      </w:r>
      <w:r w:rsidRPr="00052418">
        <w:rPr>
          <w:sz w:val="36"/>
          <w:szCs w:val="36"/>
        </w:rPr>
        <w:t xml:space="preserve"> website. </w:t>
      </w:r>
    </w:p>
    <w:p w:rsidR="00052418" w:rsidRDefault="00052418" w:rsidP="00052418">
      <w:pPr>
        <w:pStyle w:val="ListParagraph"/>
        <w:numPr>
          <w:ilvl w:val="0"/>
          <w:numId w:val="8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Payments</w:t>
      </w:r>
    </w:p>
    <w:p w:rsidR="006C708E" w:rsidRPr="006C708E" w:rsidRDefault="004928D8" w:rsidP="006C708E">
      <w:pPr>
        <w:pStyle w:val="ListParagraph"/>
        <w:numPr>
          <w:ilvl w:val="0"/>
          <w:numId w:val="10"/>
        </w:numPr>
        <w:jc w:val="both"/>
        <w:rPr>
          <w:sz w:val="36"/>
          <w:szCs w:val="36"/>
          <w:u w:val="single"/>
        </w:rPr>
      </w:pPr>
      <w:r w:rsidRPr="00052418">
        <w:rPr>
          <w:sz w:val="36"/>
          <w:szCs w:val="36"/>
        </w:rPr>
        <w:t>Application fee of INR 7000 per center.</w:t>
      </w:r>
    </w:p>
    <w:p w:rsidR="006C708E" w:rsidRPr="006C708E" w:rsidRDefault="004928D8" w:rsidP="006C708E">
      <w:pPr>
        <w:pStyle w:val="ListParagraph"/>
        <w:numPr>
          <w:ilvl w:val="0"/>
          <w:numId w:val="10"/>
        </w:numPr>
        <w:jc w:val="both"/>
        <w:rPr>
          <w:sz w:val="36"/>
          <w:szCs w:val="36"/>
          <w:u w:val="single"/>
        </w:rPr>
      </w:pPr>
      <w:r w:rsidRPr="006C708E">
        <w:rPr>
          <w:sz w:val="36"/>
          <w:szCs w:val="36"/>
        </w:rPr>
        <w:t>Inspection Fee of INR 4000 for Non- metros &amp; INR 20</w:t>
      </w:r>
      <w:r w:rsidR="009E7CD9" w:rsidRPr="006C708E">
        <w:rPr>
          <w:sz w:val="36"/>
          <w:szCs w:val="36"/>
        </w:rPr>
        <w:t xml:space="preserve">00 for Metros cities. </w:t>
      </w:r>
      <w:r w:rsidR="006C708E">
        <w:rPr>
          <w:sz w:val="36"/>
          <w:szCs w:val="36"/>
        </w:rPr>
        <w:t xml:space="preserve">List of </w:t>
      </w:r>
      <w:r w:rsidRPr="006C708E">
        <w:rPr>
          <w:sz w:val="36"/>
          <w:szCs w:val="36"/>
        </w:rPr>
        <w:t>Metros Cities</w:t>
      </w:r>
      <w:r w:rsidR="006C708E">
        <w:rPr>
          <w:sz w:val="36"/>
          <w:szCs w:val="36"/>
        </w:rPr>
        <w:t xml:space="preserve"> is attached at Appendix A</w:t>
      </w:r>
      <w:r w:rsidRPr="006C708E">
        <w:rPr>
          <w:sz w:val="36"/>
          <w:szCs w:val="36"/>
        </w:rPr>
        <w:t>.</w:t>
      </w:r>
    </w:p>
    <w:p w:rsidR="006C708E" w:rsidRPr="006C708E" w:rsidRDefault="00B573EE" w:rsidP="006C708E">
      <w:pPr>
        <w:pStyle w:val="ListParagraph"/>
        <w:numPr>
          <w:ilvl w:val="0"/>
          <w:numId w:val="10"/>
        </w:numPr>
        <w:jc w:val="both"/>
        <w:rPr>
          <w:sz w:val="36"/>
          <w:szCs w:val="36"/>
          <w:u w:val="single"/>
        </w:rPr>
      </w:pPr>
      <w:r w:rsidRPr="006C708E">
        <w:rPr>
          <w:sz w:val="36"/>
          <w:szCs w:val="36"/>
        </w:rPr>
        <w:t>Annual Affiliation fee will be INR 6000 per job role.</w:t>
      </w:r>
    </w:p>
    <w:p w:rsidR="006C708E" w:rsidRPr="006C708E" w:rsidRDefault="00E93C51" w:rsidP="006C708E">
      <w:pPr>
        <w:pStyle w:val="ListParagraph"/>
        <w:numPr>
          <w:ilvl w:val="0"/>
          <w:numId w:val="10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Already affiliated TC</w:t>
      </w:r>
      <w:bookmarkStart w:id="0" w:name="_GoBack"/>
      <w:bookmarkEnd w:id="0"/>
      <w:r w:rsidR="00B573EE" w:rsidRPr="006C708E">
        <w:rPr>
          <w:sz w:val="36"/>
          <w:szCs w:val="36"/>
        </w:rPr>
        <w:t>s with SSSDC, only have to pay INR 6000 per job role to participate in Non- PMKVY Schemes.</w:t>
      </w:r>
      <w:r w:rsidR="006C708E">
        <w:rPr>
          <w:sz w:val="36"/>
          <w:szCs w:val="36"/>
        </w:rPr>
        <w:t xml:space="preserve"> However, they will not be permitted to conduct PMKVY schemes. </w:t>
      </w:r>
    </w:p>
    <w:p w:rsidR="009E7CD9" w:rsidRPr="006C708E" w:rsidRDefault="006C708E" w:rsidP="007905A0">
      <w:pPr>
        <w:pStyle w:val="ListParagraph"/>
        <w:numPr>
          <w:ilvl w:val="0"/>
          <w:numId w:val="10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Third Party inspection will be carried out by an independent Audit Body. </w:t>
      </w:r>
    </w:p>
    <w:p w:rsidR="00B573EE" w:rsidRDefault="00B573EE" w:rsidP="007905A0">
      <w:pPr>
        <w:jc w:val="both"/>
        <w:rPr>
          <w:sz w:val="36"/>
          <w:szCs w:val="36"/>
          <w:u w:val="single"/>
        </w:rPr>
      </w:pPr>
      <w:r w:rsidRPr="00B573EE">
        <w:rPr>
          <w:sz w:val="36"/>
          <w:szCs w:val="36"/>
          <w:u w:val="single"/>
        </w:rPr>
        <w:t>Pro</w:t>
      </w:r>
      <w:r>
        <w:rPr>
          <w:sz w:val="36"/>
          <w:szCs w:val="36"/>
          <w:u w:val="single"/>
        </w:rPr>
        <w:t>cess</w:t>
      </w:r>
    </w:p>
    <w:p w:rsidR="008F50BC" w:rsidRPr="008F50BC" w:rsidRDefault="006C708E" w:rsidP="008F50BC">
      <w:pPr>
        <w:pStyle w:val="ListParagraph"/>
        <w:numPr>
          <w:ilvl w:val="0"/>
          <w:numId w:val="8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SSSDC will follow </w:t>
      </w:r>
      <w:r w:rsidR="008F50BC">
        <w:rPr>
          <w:sz w:val="36"/>
          <w:szCs w:val="36"/>
        </w:rPr>
        <w:t>the following process while examining each Affiliation Application:-</w:t>
      </w:r>
    </w:p>
    <w:p w:rsidR="008F50BC" w:rsidRPr="008F50BC" w:rsidRDefault="00B573EE" w:rsidP="008F50BC">
      <w:pPr>
        <w:pStyle w:val="ListParagraph"/>
        <w:numPr>
          <w:ilvl w:val="0"/>
          <w:numId w:val="11"/>
        </w:numPr>
        <w:jc w:val="both"/>
        <w:rPr>
          <w:sz w:val="36"/>
          <w:szCs w:val="36"/>
          <w:u w:val="single"/>
        </w:rPr>
      </w:pPr>
      <w:r w:rsidRPr="008F50BC">
        <w:rPr>
          <w:sz w:val="36"/>
          <w:szCs w:val="36"/>
        </w:rPr>
        <w:t xml:space="preserve">TC have to apply by </w:t>
      </w:r>
      <w:r w:rsidR="00BB3AB8" w:rsidRPr="008F50BC">
        <w:rPr>
          <w:sz w:val="36"/>
          <w:szCs w:val="36"/>
        </w:rPr>
        <w:t>submitting</w:t>
      </w:r>
      <w:r w:rsidRPr="008F50BC">
        <w:rPr>
          <w:sz w:val="36"/>
          <w:szCs w:val="36"/>
        </w:rPr>
        <w:t xml:space="preserve"> the hard </w:t>
      </w:r>
      <w:r w:rsidR="00BB3AB8" w:rsidRPr="008F50BC">
        <w:rPr>
          <w:sz w:val="36"/>
          <w:szCs w:val="36"/>
        </w:rPr>
        <w:t>copy of</w:t>
      </w:r>
      <w:r w:rsidRPr="008F50BC">
        <w:rPr>
          <w:sz w:val="36"/>
          <w:szCs w:val="36"/>
        </w:rPr>
        <w:t xml:space="preserve"> the application form to SSSDC office.</w:t>
      </w:r>
    </w:p>
    <w:p w:rsidR="008F50BC" w:rsidRPr="008F50BC" w:rsidRDefault="00B573EE" w:rsidP="008F50BC">
      <w:pPr>
        <w:pStyle w:val="ListParagraph"/>
        <w:numPr>
          <w:ilvl w:val="0"/>
          <w:numId w:val="11"/>
        </w:numPr>
        <w:jc w:val="both"/>
        <w:rPr>
          <w:sz w:val="36"/>
          <w:szCs w:val="36"/>
          <w:u w:val="single"/>
        </w:rPr>
      </w:pPr>
      <w:r w:rsidRPr="008F50BC">
        <w:rPr>
          <w:sz w:val="36"/>
          <w:szCs w:val="36"/>
        </w:rPr>
        <w:t>The application form should have the application fee &amp; inspection fee in form of Demand Draft in favor of Security Sector Skill Development Council payable at Gurgaon.</w:t>
      </w:r>
    </w:p>
    <w:p w:rsidR="008F50BC" w:rsidRPr="008F50BC" w:rsidRDefault="00B573EE" w:rsidP="008F50BC">
      <w:pPr>
        <w:pStyle w:val="ListParagraph"/>
        <w:numPr>
          <w:ilvl w:val="0"/>
          <w:numId w:val="11"/>
        </w:numPr>
        <w:jc w:val="both"/>
        <w:rPr>
          <w:sz w:val="36"/>
          <w:szCs w:val="36"/>
          <w:u w:val="single"/>
        </w:rPr>
      </w:pPr>
      <w:r w:rsidRPr="008F50BC">
        <w:rPr>
          <w:sz w:val="36"/>
          <w:szCs w:val="36"/>
        </w:rPr>
        <w:lastRenderedPageBreak/>
        <w:t>Once the payment &amp; papers are found in order, then the centers information will be shared with the Auditor.</w:t>
      </w:r>
    </w:p>
    <w:p w:rsidR="008F50BC" w:rsidRPr="008F50BC" w:rsidRDefault="00B573EE" w:rsidP="008F50BC">
      <w:pPr>
        <w:pStyle w:val="ListParagraph"/>
        <w:numPr>
          <w:ilvl w:val="0"/>
          <w:numId w:val="11"/>
        </w:numPr>
        <w:jc w:val="both"/>
        <w:rPr>
          <w:sz w:val="36"/>
          <w:szCs w:val="36"/>
          <w:u w:val="single"/>
        </w:rPr>
      </w:pPr>
      <w:r w:rsidRPr="008F50BC">
        <w:rPr>
          <w:sz w:val="36"/>
          <w:szCs w:val="36"/>
        </w:rPr>
        <w:t>The auditor will physically go &amp; inspect the center &amp; share the center report with SSSDC.</w:t>
      </w:r>
      <w:r w:rsidR="008F50BC">
        <w:rPr>
          <w:sz w:val="36"/>
          <w:szCs w:val="36"/>
        </w:rPr>
        <w:t xml:space="preserve"> Any short comings observed will be shared with the applicant for rectification &amp; confirmation.</w:t>
      </w:r>
    </w:p>
    <w:p w:rsidR="008F50BC" w:rsidRPr="008F50BC" w:rsidRDefault="00751E34" w:rsidP="008F50BC">
      <w:pPr>
        <w:pStyle w:val="ListParagraph"/>
        <w:numPr>
          <w:ilvl w:val="0"/>
          <w:numId w:val="11"/>
        </w:numPr>
        <w:jc w:val="both"/>
        <w:rPr>
          <w:sz w:val="36"/>
          <w:szCs w:val="36"/>
          <w:u w:val="single"/>
        </w:rPr>
      </w:pPr>
      <w:r w:rsidRPr="008F50BC">
        <w:rPr>
          <w:sz w:val="36"/>
          <w:szCs w:val="36"/>
        </w:rPr>
        <w:t xml:space="preserve">SSSDC will </w:t>
      </w:r>
      <w:r w:rsidR="008F50BC">
        <w:rPr>
          <w:sz w:val="36"/>
          <w:szCs w:val="36"/>
        </w:rPr>
        <w:t>re-check &amp; accordingly</w:t>
      </w:r>
      <w:r w:rsidRPr="008F50BC">
        <w:rPr>
          <w:sz w:val="36"/>
          <w:szCs w:val="36"/>
        </w:rPr>
        <w:t xml:space="preserve"> present the report to the Sub- Committee.</w:t>
      </w:r>
      <w:r w:rsidR="008F50BC">
        <w:rPr>
          <w:sz w:val="36"/>
          <w:szCs w:val="36"/>
        </w:rPr>
        <w:t xml:space="preserve"> The Sub Committee will peruse the documents in detail &amp; once satisfied that all parameters have been met, will grant approval for Affiliation.</w:t>
      </w:r>
    </w:p>
    <w:p w:rsidR="00751E34" w:rsidRPr="008F50BC" w:rsidRDefault="00751E34" w:rsidP="008F50BC">
      <w:pPr>
        <w:pStyle w:val="ListParagraph"/>
        <w:numPr>
          <w:ilvl w:val="0"/>
          <w:numId w:val="11"/>
        </w:numPr>
        <w:jc w:val="both"/>
        <w:rPr>
          <w:sz w:val="36"/>
          <w:szCs w:val="36"/>
          <w:u w:val="single"/>
        </w:rPr>
      </w:pPr>
      <w:r w:rsidRPr="008F50BC">
        <w:rPr>
          <w:sz w:val="36"/>
          <w:szCs w:val="36"/>
        </w:rPr>
        <w:t>Affiliation certificate will be given</w:t>
      </w:r>
      <w:r w:rsidR="008F50BC">
        <w:rPr>
          <w:sz w:val="36"/>
          <w:szCs w:val="36"/>
        </w:rPr>
        <w:t xml:space="preserve"> to the Training </w:t>
      </w:r>
      <w:r w:rsidR="008F50BC" w:rsidRPr="008F50BC">
        <w:rPr>
          <w:sz w:val="36"/>
          <w:szCs w:val="36"/>
        </w:rPr>
        <w:t>Centre only</w:t>
      </w:r>
      <w:r w:rsidRPr="008F50BC">
        <w:rPr>
          <w:sz w:val="36"/>
          <w:szCs w:val="36"/>
        </w:rPr>
        <w:t xml:space="preserve"> after the receipt of the Annual Affiliation Fee.</w:t>
      </w:r>
    </w:p>
    <w:p w:rsidR="008F50BC" w:rsidRDefault="008F50BC" w:rsidP="008F50BC">
      <w:pPr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Conclusion</w:t>
      </w:r>
    </w:p>
    <w:p w:rsidR="008F50BC" w:rsidRPr="008F50BC" w:rsidRDefault="008F50BC" w:rsidP="008F50BC">
      <w:pPr>
        <w:pStyle w:val="ListParagraph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Another opportunity has been provided by NSDC for Training </w:t>
      </w:r>
      <w:proofErr w:type="spellStart"/>
      <w:r>
        <w:rPr>
          <w:sz w:val="36"/>
          <w:szCs w:val="36"/>
        </w:rPr>
        <w:t>Centres</w:t>
      </w:r>
      <w:proofErr w:type="spellEnd"/>
      <w:r>
        <w:rPr>
          <w:sz w:val="36"/>
          <w:szCs w:val="36"/>
        </w:rPr>
        <w:t xml:space="preserve"> to carry out training with full gusto in the Non PMKVY projects. This needs to be capitalized at the earliest.</w:t>
      </w:r>
    </w:p>
    <w:p w:rsidR="00B573EE" w:rsidRPr="00B573EE" w:rsidRDefault="00B573EE" w:rsidP="007905A0">
      <w:pPr>
        <w:jc w:val="both"/>
        <w:rPr>
          <w:sz w:val="36"/>
          <w:szCs w:val="36"/>
          <w:u w:val="single"/>
        </w:rPr>
      </w:pPr>
    </w:p>
    <w:p w:rsidR="004928D8" w:rsidRDefault="004928D8" w:rsidP="007905A0">
      <w:pPr>
        <w:pStyle w:val="ListParagraph"/>
        <w:jc w:val="both"/>
        <w:rPr>
          <w:sz w:val="36"/>
          <w:szCs w:val="36"/>
        </w:rPr>
      </w:pPr>
    </w:p>
    <w:p w:rsidR="00DE65DD" w:rsidRPr="004928D8" w:rsidRDefault="00DE65DD" w:rsidP="007905A0">
      <w:pPr>
        <w:jc w:val="both"/>
        <w:rPr>
          <w:sz w:val="36"/>
          <w:szCs w:val="36"/>
        </w:rPr>
      </w:pPr>
    </w:p>
    <w:p w:rsidR="00EF2C23" w:rsidRPr="006C1F45" w:rsidRDefault="00EF2C23" w:rsidP="007905A0">
      <w:pPr>
        <w:pStyle w:val="ListParagraph"/>
        <w:ind w:left="630"/>
        <w:jc w:val="both"/>
        <w:rPr>
          <w:sz w:val="36"/>
          <w:szCs w:val="36"/>
          <w:u w:val="single"/>
        </w:rPr>
      </w:pPr>
    </w:p>
    <w:p w:rsidR="006C1F45" w:rsidRPr="006C1F45" w:rsidRDefault="006C1F45" w:rsidP="007905A0">
      <w:pPr>
        <w:pStyle w:val="ListParagraph"/>
        <w:jc w:val="both"/>
        <w:rPr>
          <w:sz w:val="36"/>
          <w:szCs w:val="36"/>
          <w:u w:val="single"/>
        </w:rPr>
      </w:pPr>
    </w:p>
    <w:p w:rsidR="006C1F45" w:rsidRDefault="006C1F45" w:rsidP="007905A0">
      <w:pPr>
        <w:jc w:val="both"/>
        <w:rPr>
          <w:b/>
          <w:sz w:val="36"/>
          <w:szCs w:val="36"/>
          <w:u w:val="single"/>
        </w:rPr>
      </w:pPr>
    </w:p>
    <w:p w:rsidR="000F40A3" w:rsidRDefault="000F40A3" w:rsidP="007905A0">
      <w:pPr>
        <w:jc w:val="both"/>
      </w:pPr>
    </w:p>
    <w:sectPr w:rsidR="000F40A3" w:rsidSect="00C24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A84"/>
    <w:multiLevelType w:val="hybridMultilevel"/>
    <w:tmpl w:val="01CA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6AC"/>
    <w:multiLevelType w:val="hybridMultilevel"/>
    <w:tmpl w:val="9F6CA1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0C69"/>
    <w:multiLevelType w:val="hybridMultilevel"/>
    <w:tmpl w:val="5B44992E"/>
    <w:lvl w:ilvl="0" w:tplc="EACC2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D7F9E"/>
    <w:multiLevelType w:val="hybridMultilevel"/>
    <w:tmpl w:val="F99A1D30"/>
    <w:lvl w:ilvl="0" w:tplc="DC8A39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84FB4"/>
    <w:multiLevelType w:val="hybridMultilevel"/>
    <w:tmpl w:val="D3365256"/>
    <w:lvl w:ilvl="0" w:tplc="EACC2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405"/>
    <w:multiLevelType w:val="hybridMultilevel"/>
    <w:tmpl w:val="D4041A3A"/>
    <w:lvl w:ilvl="0" w:tplc="C256EA94">
      <w:start w:val="1"/>
      <w:numFmt w:val="lowerLetter"/>
      <w:lvlText w:val="(%1)"/>
      <w:lvlJc w:val="left"/>
      <w:pPr>
        <w:ind w:left="1440" w:hanging="72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954B48"/>
    <w:multiLevelType w:val="hybridMultilevel"/>
    <w:tmpl w:val="29C84104"/>
    <w:lvl w:ilvl="0" w:tplc="5DA60D22">
      <w:start w:val="1"/>
      <w:numFmt w:val="lowerLetter"/>
      <w:lvlText w:val="(%1)"/>
      <w:lvlJc w:val="left"/>
      <w:pPr>
        <w:ind w:left="1440" w:hanging="72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8C47CE"/>
    <w:multiLevelType w:val="hybridMultilevel"/>
    <w:tmpl w:val="FF8073D6"/>
    <w:lvl w:ilvl="0" w:tplc="0336823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CF960C0"/>
    <w:multiLevelType w:val="hybridMultilevel"/>
    <w:tmpl w:val="A86CE9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E0F0F"/>
    <w:multiLevelType w:val="hybridMultilevel"/>
    <w:tmpl w:val="919CB67E"/>
    <w:lvl w:ilvl="0" w:tplc="5F281C2E">
      <w:start w:val="1"/>
      <w:numFmt w:val="lowerLetter"/>
      <w:lvlText w:val="(%1)"/>
      <w:lvlJc w:val="left"/>
      <w:pPr>
        <w:ind w:left="1440" w:hanging="72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C707B3"/>
    <w:multiLevelType w:val="hybridMultilevel"/>
    <w:tmpl w:val="3BAEFC0C"/>
    <w:lvl w:ilvl="0" w:tplc="EACC2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5"/>
    <w:rsid w:val="00052418"/>
    <w:rsid w:val="000F40A3"/>
    <w:rsid w:val="004928D8"/>
    <w:rsid w:val="004C21FD"/>
    <w:rsid w:val="006C1F45"/>
    <w:rsid w:val="006C708E"/>
    <w:rsid w:val="00751E34"/>
    <w:rsid w:val="00775C56"/>
    <w:rsid w:val="007905A0"/>
    <w:rsid w:val="008F50BC"/>
    <w:rsid w:val="009C2A51"/>
    <w:rsid w:val="009E7CD9"/>
    <w:rsid w:val="00AE4154"/>
    <w:rsid w:val="00B573EE"/>
    <w:rsid w:val="00BB3AB8"/>
    <w:rsid w:val="00C243A0"/>
    <w:rsid w:val="00DE65DD"/>
    <w:rsid w:val="00E93C51"/>
    <w:rsid w:val="00EF2C23"/>
    <w:rsid w:val="00EF7333"/>
    <w:rsid w:val="00F3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F2874-097D-4102-B506-7AC0CE33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Graphic,List Paragraph1,Table of contents numbered,Bullets,bullets,List Paragraph Char Char,Resume Title,heading 4,Ha,Heading 41,Bullet List,FooterText,numbered,Paragraphe de liste1,Bulletr List Paragraph,列出段落,列出段落1,normal"/>
    <w:basedOn w:val="Normal"/>
    <w:link w:val="ListParagraphChar"/>
    <w:uiPriority w:val="34"/>
    <w:qFormat/>
    <w:rsid w:val="006C1F45"/>
    <w:pPr>
      <w:ind w:left="720"/>
      <w:contextualSpacing/>
    </w:pPr>
  </w:style>
  <w:style w:type="character" w:customStyle="1" w:styleId="ListParagraphChar">
    <w:name w:val="List Paragraph Char"/>
    <w:aliases w:val="Citation List Char,Graphic Char,List Paragraph1 Char,Table of contents numbered Char,Bullets Char,bullets Char,List Paragraph Char Char Char,Resume Title Char,heading 4 Char,Ha Char,Heading 41 Char,Bullet List Char,FooterText Char"/>
    <w:basedOn w:val="DefaultParagraphFont"/>
    <w:link w:val="ListParagraph"/>
    <w:uiPriority w:val="34"/>
    <w:locked/>
    <w:rsid w:val="00EF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2017-09-15T06:55:00Z</dcterms:created>
  <dcterms:modified xsi:type="dcterms:W3CDTF">2017-09-15T06:55:00Z</dcterms:modified>
</cp:coreProperties>
</file>